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P="15536437" w14:paraId="1906D535" wp14:textId="77777777">
      <w:pPr>
        <w:pStyle w:val="Title"/>
        <w:jc w:val="center"/>
      </w:pPr>
      <w:r w:rsidR="15536437">
        <w:rPr/>
        <w:t>Transfer Advising Plan: BMCC to Lehman College (Spanish)</w:t>
      </w:r>
    </w:p>
    <w:p xmlns:wp14="http://schemas.microsoft.com/office/word/2010/wordml" w14:paraId="22E265D9" wp14:textId="77777777">
      <w:r>
        <w:t>Program Pathway: BMCC Liberal Arts A.A. (Spanish Focus) → Lehman College Spanish B.A. (SPA-BA)</w:t>
      </w:r>
    </w:p>
    <w:p xmlns:wp14="http://schemas.microsoft.com/office/word/2010/wordml" w14:paraId="6C5874B3" wp14:textId="77777777">
      <w:pPr>
        <w:pStyle w:val="Heading1"/>
      </w:pPr>
      <w:r>
        <w:t>1. Overview</w:t>
      </w:r>
    </w:p>
    <w:p xmlns:wp14="http://schemas.microsoft.com/office/word/2010/wordml" w14:paraId="6E40C29B" wp14:textId="462F15EE">
      <w:r w:rsidR="15536437">
        <w:rPr/>
        <w:t>This advising plan supports students completing a Liberal Arts A.A. with a Spanish focus at Borough of Manhattan Community College (BMCC) who plan to transfer into the Spanish B.A. program at Lehman College. Students completing the A.A. transfer with approximately 60 credits and junior standing.</w:t>
      </w:r>
    </w:p>
    <w:p xmlns:wp14="http://schemas.microsoft.com/office/word/2010/wordml" w14:paraId="26D56BB9" wp14:textId="77777777">
      <w:pPr>
        <w:pStyle w:val="Heading1"/>
      </w:pPr>
      <w:r>
        <w:t>2. BMCC Program Summary (60 credits)</w:t>
      </w:r>
    </w:p>
    <w:p xmlns:wp14="http://schemas.microsoft.com/office/word/2010/wordml" w14:paraId="0F053874" wp14:textId="2A96BAB9">
      <w:r w:rsidR="014B140D">
        <w:rPr/>
        <w:t>The BMCC Liberal Arts A.A. includes 30 credits of general education and 30 credits of electives and concentration coursework. Spanish study typically includes intermediate/ advanced coursework in grammar, composition, or culture.</w:t>
      </w:r>
    </w:p>
    <w:p xmlns:wp14="http://schemas.microsoft.com/office/word/2010/wordml" w14:paraId="52E04FEC" wp14:textId="77777777">
      <w:pPr>
        <w:pStyle w:val="Heading1"/>
      </w:pPr>
      <w:r>
        <w:t>3. Lehman Spanish B.A. Summary (120 credits)</w:t>
      </w:r>
    </w:p>
    <w:p xmlns:wp14="http://schemas.microsoft.com/office/word/2010/wordml" w14:paraId="6EAF53AE" wp14:textId="2B1BE786">
      <w:r w:rsidR="014B140D">
        <w:rPr/>
        <w:t xml:space="preserve">The Lehman B.A. </w:t>
      </w:r>
      <w:r w:rsidR="014B140D">
        <w:rPr/>
        <w:t>requires</w:t>
      </w:r>
      <w:r w:rsidR="014B140D">
        <w:rPr/>
        <w:t xml:space="preserve"> 120 total credits, including a 36-credit Spanish major. Required courses include SPA 300 (Literary Studies), SPA 306 (Advanced Composition), SPA 309 (Advanced Grammar), and SPA 331 (Cervantes's Don Quixote). At least 30 credits must be completed at Lehman College.</w:t>
      </w:r>
    </w:p>
    <w:p xmlns:wp14="http://schemas.microsoft.com/office/word/2010/wordml" w14:paraId="06D1CBDC" wp14:textId="77777777">
      <w:pPr>
        <w:pStyle w:val="Heading1"/>
      </w:pPr>
      <w:r>
        <w:t>4. Transfer Notes</w:t>
      </w:r>
    </w:p>
    <w:p xmlns:wp14="http://schemas.microsoft.com/office/word/2010/wordml" w14:paraId="3921AFA4" wp14:textId="689F6A46">
      <w:r w:rsidR="014B140D">
        <w:rPr/>
        <w:t xml:space="preserve">Students who complete the A.A. degree fulfill lower-division general education </w:t>
      </w:r>
      <w:r w:rsidR="014B140D">
        <w:rPr/>
        <w:t>requirements and</w:t>
      </w:r>
      <w:r w:rsidR="014B140D">
        <w:rPr/>
        <w:t xml:space="preserve"> will need 6 credits </w:t>
      </w:r>
      <w:r w:rsidR="014B140D">
        <w:rPr/>
        <w:t>of</w:t>
      </w:r>
      <w:r w:rsidR="014B140D">
        <w:rPr/>
        <w:t xml:space="preserve"> College Option and Writing Intensive courses at Lehman. After transfer, students complete upper-division Spanish major coursework, including literature and advanced language study.</w:t>
      </w:r>
    </w:p>
    <w:p xmlns:wp14="http://schemas.microsoft.com/office/word/2010/wordml" w14:paraId="7A28958F" wp14:textId="77777777">
      <w:pPr>
        <w:pStyle w:val="Heading1"/>
      </w:pPr>
      <w:r>
        <w:t>5. Course Equivalency Table (Based on CUNY Transfer Explorer)</w:t>
      </w:r>
    </w:p>
    <w:tbl>
      <w:tblPr>
        <w:tblW w:w="0" w:type="auto"/>
        <w:tblLook w:val="04A0" w:firstRow="1" w:lastRow="0" w:firstColumn="1" w:lastColumn="0" w:noHBand="0" w:noVBand="1"/>
      </w:tblPr>
      <w:tblGrid>
        <w:gridCol w:w="2880"/>
        <w:gridCol w:w="2880"/>
        <w:gridCol w:w="2880"/>
      </w:tblGrid>
      <w:tr xmlns:wp14="http://schemas.microsoft.com/office/word/2010/wordml" w:rsidTr="014B140D" w14:paraId="6F4C2E2C" wp14:textId="77777777">
        <w:tc>
          <w:tcPr>
            <w:tcW w:w="2880" w:type="dxa"/>
            <w:tcMar/>
          </w:tcPr>
          <w:p w14:paraId="0EBCFD8E" wp14:textId="77777777">
            <w:r>
              <w:t>BMCC Course</w:t>
            </w:r>
          </w:p>
        </w:tc>
        <w:tc>
          <w:tcPr>
            <w:tcW w:w="2880" w:type="dxa"/>
            <w:tcMar/>
          </w:tcPr>
          <w:p w14:paraId="64EE8160" wp14:textId="77777777">
            <w:r>
              <w:t>Lehman Equivalent</w:t>
            </w:r>
          </w:p>
        </w:tc>
        <w:tc>
          <w:tcPr>
            <w:tcW w:w="2880" w:type="dxa"/>
            <w:tcMar/>
          </w:tcPr>
          <w:p w14:paraId="25546E3C" wp14:textId="77777777">
            <w:r>
              <w:t>Notes</w:t>
            </w:r>
          </w:p>
        </w:tc>
      </w:tr>
      <w:tr xmlns:wp14="http://schemas.microsoft.com/office/word/2010/wordml" w:rsidTr="014B140D" w14:paraId="53006518" wp14:textId="77777777">
        <w:tc>
          <w:tcPr>
            <w:tcW w:w="2880" w:type="dxa"/>
            <w:tcMar/>
          </w:tcPr>
          <w:p w14:paraId="794BA131" wp14:textId="50A5EED8">
            <w:r w:rsidR="1B1B1BF9">
              <w:rPr/>
              <w:t>SPN 105 Elementary Spanish I</w:t>
            </w:r>
          </w:p>
        </w:tc>
        <w:tc>
          <w:tcPr>
            <w:tcW w:w="2880" w:type="dxa"/>
            <w:tcMar/>
          </w:tcPr>
          <w:p w14:paraId="1EDC9E05" wp14:textId="77777777">
            <w:r>
              <w:t>SPA 111 Elementary Spanish I</w:t>
            </w:r>
          </w:p>
        </w:tc>
        <w:tc>
          <w:tcPr>
            <w:tcW w:w="2880" w:type="dxa"/>
            <w:tcMar/>
          </w:tcPr>
          <w:p w14:paraId="6E4EED25" wp14:textId="0609DE10">
            <w:r w:rsidR="014B140D">
              <w:rPr/>
              <w:t>Direct equivalent/Pathways</w:t>
            </w:r>
          </w:p>
        </w:tc>
      </w:tr>
      <w:tr xmlns:wp14="http://schemas.microsoft.com/office/word/2010/wordml" w:rsidTr="014B140D" w14:paraId="6212A8FF" wp14:textId="77777777">
        <w:tc>
          <w:tcPr>
            <w:tcW w:w="2880" w:type="dxa"/>
            <w:tcMar/>
          </w:tcPr>
          <w:p w14:paraId="0A12DC9E" wp14:textId="77777777">
            <w:r>
              <w:t>SPN 106 Elementary Spanish II</w:t>
            </w:r>
          </w:p>
        </w:tc>
        <w:tc>
          <w:tcPr>
            <w:tcW w:w="2880" w:type="dxa"/>
            <w:tcMar/>
          </w:tcPr>
          <w:p w14:paraId="72324511" wp14:textId="77777777">
            <w:r>
              <w:t>SPA 112 Elementary Spanish II</w:t>
            </w:r>
          </w:p>
        </w:tc>
        <w:tc>
          <w:tcPr>
            <w:tcW w:w="2880" w:type="dxa"/>
            <w:tcMar/>
          </w:tcPr>
          <w:p w14:paraId="4B651BE3" wp14:textId="4E1C9765">
            <w:r w:rsidR="014B140D">
              <w:rPr/>
              <w:t>Direct equivalent</w:t>
            </w:r>
            <w:r w:rsidR="014B140D">
              <w:rPr/>
              <w:t>/Pathways</w:t>
            </w:r>
          </w:p>
          <w:p w14:paraId="744887F2" wp14:textId="11C0D21F"/>
        </w:tc>
      </w:tr>
      <w:tr xmlns:wp14="http://schemas.microsoft.com/office/word/2010/wordml" w:rsidTr="014B140D" w14:paraId="53E1F48D" wp14:textId="77777777">
        <w:tc>
          <w:tcPr>
            <w:tcW w:w="2880" w:type="dxa"/>
            <w:tcMar/>
          </w:tcPr>
          <w:p w14:paraId="615E2AB3" wp14:textId="77777777">
            <w:r>
              <w:t>SPN 200/210 Intermediate Spanish</w:t>
            </w:r>
          </w:p>
        </w:tc>
        <w:tc>
          <w:tcPr>
            <w:tcW w:w="2880" w:type="dxa"/>
            <w:tcMar/>
          </w:tcPr>
          <w:p w14:paraId="05D302E8" wp14:textId="77777777">
            <w:r>
              <w:t>SPA 201/202 Intermediate Spanish</w:t>
            </w:r>
          </w:p>
        </w:tc>
        <w:tc>
          <w:tcPr>
            <w:tcW w:w="2880" w:type="dxa"/>
            <w:tcMar/>
          </w:tcPr>
          <w:p w14:paraId="57BB41A4" wp14:textId="77777777">
            <w:r>
              <w:t>Prepares for upper-division</w:t>
            </w:r>
          </w:p>
        </w:tc>
      </w:tr>
      <w:tr xmlns:wp14="http://schemas.microsoft.com/office/word/2010/wordml" w:rsidTr="014B140D" w14:paraId="13C2B255" wp14:textId="77777777">
        <w:tc>
          <w:tcPr>
            <w:tcW w:w="2880" w:type="dxa"/>
            <w:tcMar/>
          </w:tcPr>
          <w:p w:rsidP="15536437" w14:paraId="06D55D16" wp14:textId="60B0137B">
            <w:pPr>
              <w:pStyle w:val="Normal"/>
              <w:suppressLineNumbers w:val="0"/>
              <w:bidi w:val="0"/>
              <w:spacing w:before="0" w:beforeAutospacing="off" w:after="200" w:afterAutospacing="off" w:line="276" w:lineRule="auto"/>
              <w:ind w:left="0" w:right="0"/>
              <w:jc w:val="left"/>
            </w:pPr>
            <w:r w:rsidR="15536437">
              <w:rPr/>
              <w:t>Spanish Courses 200 or above</w:t>
            </w:r>
          </w:p>
        </w:tc>
        <w:tc>
          <w:tcPr>
            <w:tcW w:w="2880" w:type="dxa"/>
            <w:tcMar/>
          </w:tcPr>
          <w:p w14:paraId="62F371D8" wp14:textId="40FB8CBA">
            <w:r w:rsidR="014B140D">
              <w:rPr/>
              <w:t>SPA electives</w:t>
            </w:r>
          </w:p>
        </w:tc>
        <w:tc>
          <w:tcPr>
            <w:tcW w:w="2880" w:type="dxa"/>
            <w:tcMar/>
          </w:tcPr>
          <w:p w14:paraId="4D2C7F8D" wp14:textId="136B7B01">
            <w:r w:rsidR="014B140D">
              <w:rPr/>
              <w:t>May apply toward major preparation/requirements</w:t>
            </w:r>
          </w:p>
        </w:tc>
      </w:tr>
      <w:tr xmlns:wp14="http://schemas.microsoft.com/office/word/2010/wordml" w:rsidTr="014B140D" w14:paraId="5DEC8B55" wp14:textId="77777777">
        <w:tc>
          <w:tcPr>
            <w:tcW w:w="2880" w:type="dxa"/>
            <w:tcMar/>
          </w:tcPr>
          <w:p w14:paraId="6EA6996D" wp14:textId="77777777">
            <w:r>
              <w:t>ENG Composition I</w:t>
            </w:r>
          </w:p>
        </w:tc>
        <w:tc>
          <w:tcPr>
            <w:tcW w:w="2880" w:type="dxa"/>
            <w:tcMar/>
          </w:tcPr>
          <w:p w14:paraId="2656BCAC" wp14:textId="77777777">
            <w:r>
              <w:t>ENG 111</w:t>
            </w:r>
          </w:p>
        </w:tc>
        <w:tc>
          <w:tcPr>
            <w:tcW w:w="2880" w:type="dxa"/>
            <w:tcMar/>
          </w:tcPr>
          <w:p w14:paraId="22FAD1C2" wp14:textId="77777777">
            <w:r>
              <w:t>Required Core</w:t>
            </w:r>
          </w:p>
        </w:tc>
      </w:tr>
      <w:tr xmlns:wp14="http://schemas.microsoft.com/office/word/2010/wordml" w:rsidTr="014B140D" w14:paraId="50FF4BCB" wp14:textId="77777777">
        <w:tc>
          <w:tcPr>
            <w:tcW w:w="2880" w:type="dxa"/>
            <w:tcMar/>
          </w:tcPr>
          <w:p w14:paraId="6CCC3355" wp14:textId="77777777">
            <w:r>
              <w:t>ENG Composition II</w:t>
            </w:r>
          </w:p>
        </w:tc>
        <w:tc>
          <w:tcPr>
            <w:tcW w:w="2880" w:type="dxa"/>
            <w:tcMar/>
          </w:tcPr>
          <w:p w14:paraId="5D5E1526" wp14:textId="77777777">
            <w:r>
              <w:t>ENG 121</w:t>
            </w:r>
          </w:p>
        </w:tc>
        <w:tc>
          <w:tcPr>
            <w:tcW w:w="2880" w:type="dxa"/>
            <w:tcMar/>
          </w:tcPr>
          <w:p w14:paraId="44D5E3CC" wp14:textId="77777777">
            <w:r>
              <w:t>Required Core</w:t>
            </w:r>
          </w:p>
        </w:tc>
      </w:tr>
      <w:tr xmlns:wp14="http://schemas.microsoft.com/office/word/2010/wordml" w:rsidTr="014B140D" w14:paraId="44FF2FAF" wp14:textId="77777777">
        <w:tc>
          <w:tcPr>
            <w:tcW w:w="2880" w:type="dxa"/>
            <w:tcMar/>
          </w:tcPr>
          <w:p w14:paraId="0014802C" wp14:textId="77777777">
            <w:r>
              <w:t>Math Requirement</w:t>
            </w:r>
          </w:p>
        </w:tc>
        <w:tc>
          <w:tcPr>
            <w:tcW w:w="2880" w:type="dxa"/>
            <w:tcMar/>
          </w:tcPr>
          <w:p w14:paraId="28E028CA" wp14:textId="77777777">
            <w:r>
              <w:t>Quantitative Reasoning</w:t>
            </w:r>
          </w:p>
        </w:tc>
        <w:tc>
          <w:tcPr>
            <w:tcW w:w="2880" w:type="dxa"/>
            <w:tcMar/>
          </w:tcPr>
          <w:p w14:paraId="1641A3C0" wp14:textId="77777777">
            <w:r>
              <w:t>Transfers as Pathways</w:t>
            </w:r>
          </w:p>
        </w:tc>
      </w:tr>
      <w:tr xmlns:wp14="http://schemas.microsoft.com/office/word/2010/wordml" w:rsidTr="014B140D" w14:paraId="511D0156" wp14:textId="77777777">
        <w:tc>
          <w:tcPr>
            <w:tcW w:w="2880" w:type="dxa"/>
            <w:tcMar/>
          </w:tcPr>
          <w:p w14:paraId="3DD0B13C" wp14:textId="77777777">
            <w:r>
              <w:t>Science w/ Lab</w:t>
            </w:r>
          </w:p>
        </w:tc>
        <w:tc>
          <w:tcPr>
            <w:tcW w:w="2880" w:type="dxa"/>
            <w:tcMar/>
          </w:tcPr>
          <w:p w14:paraId="66B6D9E9" wp14:textId="77777777">
            <w:r>
              <w:t>Scientific World</w:t>
            </w:r>
          </w:p>
        </w:tc>
        <w:tc>
          <w:tcPr>
            <w:tcW w:w="2880" w:type="dxa"/>
            <w:tcMar/>
          </w:tcPr>
          <w:p w14:paraId="7B425A89" wp14:textId="77777777">
            <w:r>
              <w:t>Transfers as Pathways</w:t>
            </w:r>
          </w:p>
        </w:tc>
      </w:tr>
      <w:tr xmlns:wp14="http://schemas.microsoft.com/office/word/2010/wordml" w:rsidTr="014B140D" w14:paraId="0042F1F3" wp14:textId="77777777">
        <w:tc>
          <w:tcPr>
            <w:tcW w:w="2880" w:type="dxa"/>
            <w:tcMar/>
          </w:tcPr>
          <w:p w14:paraId="7D566EE8" wp14:textId="77777777">
            <w:r>
              <w:t>Flexible Core courses</w:t>
            </w:r>
          </w:p>
        </w:tc>
        <w:tc>
          <w:tcPr>
            <w:tcW w:w="2880" w:type="dxa"/>
            <w:tcMar/>
          </w:tcPr>
          <w:p w14:paraId="640DAA2F" wp14:textId="77777777">
            <w:r>
              <w:t>Flexible Core</w:t>
            </w:r>
          </w:p>
        </w:tc>
        <w:tc>
          <w:tcPr>
            <w:tcW w:w="2880" w:type="dxa"/>
            <w:tcMar/>
          </w:tcPr>
          <w:p w14:paraId="1CA33B59" wp14:textId="77777777">
            <w:r>
              <w:t>General education satisfied</w:t>
            </w:r>
          </w:p>
        </w:tc>
      </w:tr>
    </w:tbl>
    <w:p xmlns:wp14="http://schemas.microsoft.com/office/word/2010/wordml" w14:paraId="5B69E6F0" wp14:textId="77777777">
      <w:pPr>
        <w:pStyle w:val="Heading1"/>
      </w:pPr>
      <w:r>
        <w:t>6. Advising Recommendations</w:t>
      </w:r>
    </w:p>
    <w:p xmlns:wp14="http://schemas.microsoft.com/office/word/2010/wordml" w14:paraId="7F4D83E1" wp14:textId="3A1EAA0B">
      <w:r w:rsidR="014B140D">
        <w:rPr/>
        <w:t>- Complete at least intermediate Spanish before transfer.</w:t>
      </w:r>
      <w:r>
        <w:br/>
      </w:r>
      <w:r w:rsidR="014B140D">
        <w:rPr/>
        <w:t>- Take advanced grammar/composition courses when possible.</w:t>
      </w:r>
      <w:r>
        <w:br/>
      </w:r>
      <w:r w:rsidR="014B140D">
        <w:rPr/>
        <w:t>- Plan to complete SPA 300, 306, 309, and 331 soon after transfer.</w:t>
      </w:r>
      <w:r>
        <w:br/>
      </w:r>
      <w:r w:rsidR="014B140D">
        <w:rPr/>
        <w:t xml:space="preserve">- </w:t>
      </w:r>
      <w:r w:rsidR="014B140D">
        <w:rPr/>
        <w:t>Maintain</w:t>
      </w:r>
      <w:r w:rsidR="014B140D">
        <w:rPr/>
        <w:t xml:space="preserve"> strong GPA for successful transfer.</w:t>
      </w:r>
      <w:r>
        <w:br/>
      </w:r>
      <w:r w:rsidR="014B140D">
        <w:rPr/>
        <w:t>- Verify equivalencies using CUNY Transfer Explorer prior to registration.</w:t>
      </w:r>
    </w:p>
    <w:sectPr w:rsidRPr="0006063C" w:rsidR="00FC693F"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proofState w:spelling="clean" w:grammar="dirty"/>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14B140D"/>
    <w:rsid w:val="08749806"/>
    <w:rsid w:val="15536437"/>
    <w:rsid w:val="1742BD44"/>
    <w:rsid w:val="1B1B1BF9"/>
    <w:rsid w:val="21E789AE"/>
    <w:rsid w:val="334BF369"/>
    <w:rsid w:val="3472A370"/>
    <w:rsid w:val="4099FF94"/>
    <w:rsid w:val="61FB3376"/>
    <w:rsid w:val="61FB3376"/>
    <w:rsid w:val="6CF461F7"/>
    <w:rsid w:val="718D2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857722CB-CA15-4D86-A514-B0C39116E6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Emily Denham</lastModifiedBy>
  <revision>3</revision>
  <dcterms:created xsi:type="dcterms:W3CDTF">2013-12-23T23:15:00.0000000Z</dcterms:created>
  <dcterms:modified xsi:type="dcterms:W3CDTF">2026-05-18T14:37:52.2840784Z</dcterms:modified>
  <category/>
</coreProperties>
</file>